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3A4D3" w14:textId="77777777" w:rsidR="007E7B80" w:rsidRPr="00875013" w:rsidRDefault="007E7B80" w:rsidP="007E7B80">
      <w:pPr>
        <w:pStyle w:val="berschrift2"/>
        <w:spacing w:before="240" w:after="240"/>
        <w:rPr>
          <w:lang w:val="en-US"/>
        </w:rPr>
      </w:pPr>
      <w:r>
        <w:rPr>
          <w:lang w:val="en-US"/>
        </w:rPr>
        <w:t>Runtime Application Self-Protection (RASP)</w:t>
      </w:r>
      <w:r w:rsidRPr="00875013">
        <w:rPr>
          <w:lang w:val="en-US"/>
        </w:rPr>
        <w:t xml:space="preserve"> </w:t>
      </w:r>
      <w:r>
        <w:rPr>
          <w:lang w:val="en-US"/>
        </w:rPr>
        <w:t>– Price Sheet</w:t>
      </w:r>
    </w:p>
    <w:p w14:paraId="61771269" w14:textId="77777777" w:rsidR="007E7B80" w:rsidRPr="009F6EDF" w:rsidRDefault="007E7B80" w:rsidP="007E7B80">
      <w:pPr>
        <w:spacing w:before="240" w:after="240"/>
        <w:jc w:val="both"/>
        <w:rPr>
          <w:lang w:val="en-US"/>
        </w:rPr>
      </w:pPr>
      <w:r w:rsidRPr="00456EA5">
        <w:rPr>
          <w:lang w:val="en-US"/>
        </w:rPr>
        <w:t xml:space="preserve">This price sheet contains all cost components related to the requested services in accordance with the service </w:t>
      </w:r>
      <w:r>
        <w:rPr>
          <w:lang w:val="en-US"/>
        </w:rPr>
        <w:t>description</w:t>
      </w:r>
      <w:r w:rsidRPr="00456EA5">
        <w:rPr>
          <w:lang w:val="en-US"/>
        </w:rPr>
        <w:t>. All prices are all</w:t>
      </w:r>
      <w:r w:rsidRPr="00456EA5">
        <w:rPr>
          <w:lang w:val="en-US"/>
        </w:rPr>
        <w:noBreakHyphen/>
        <w:t xml:space="preserve">inclusive </w:t>
      </w:r>
      <w:r w:rsidRPr="009E78BF">
        <w:rPr>
          <w:lang w:val="en-US"/>
        </w:rPr>
        <w:t>prices (fixed prices) and include</w:t>
      </w:r>
      <w:r w:rsidRPr="00456EA5">
        <w:rPr>
          <w:lang w:val="en-US"/>
        </w:rPr>
        <w:t xml:space="preserve"> all components required for the full provision of the services in line with the service </w:t>
      </w:r>
      <w:r>
        <w:rPr>
          <w:lang w:val="en-US"/>
        </w:rPr>
        <w:t>description</w:t>
      </w:r>
      <w:r w:rsidRPr="00456EA5">
        <w:rPr>
          <w:lang w:val="en-US"/>
        </w:rPr>
        <w:t>, including</w:t>
      </w:r>
      <w:r w:rsidRPr="009F6EDF">
        <w:rPr>
          <w:lang w:val="en-US"/>
        </w:rPr>
        <w:t>:</w:t>
      </w:r>
    </w:p>
    <w:p w14:paraId="300A253B" w14:textId="77777777" w:rsidR="007E7B80" w:rsidRPr="009F6EDF" w:rsidRDefault="007E7B80" w:rsidP="007E7B80">
      <w:pPr>
        <w:pStyle w:val="Listenabsatz"/>
        <w:numPr>
          <w:ilvl w:val="0"/>
          <w:numId w:val="2"/>
        </w:numPr>
        <w:spacing w:before="240" w:after="240"/>
        <w:jc w:val="both"/>
        <w:rPr>
          <w:lang w:val="en-US"/>
        </w:rPr>
      </w:pPr>
      <w:r w:rsidRPr="009F6EDF">
        <w:rPr>
          <w:lang w:val="en-US"/>
        </w:rPr>
        <w:t>Integration</w:t>
      </w:r>
    </w:p>
    <w:p w14:paraId="10430F2B" w14:textId="77777777" w:rsidR="007E7B80" w:rsidRPr="009F6EDF" w:rsidRDefault="007E7B80" w:rsidP="007E7B80">
      <w:pPr>
        <w:pStyle w:val="Listenabsatz"/>
        <w:numPr>
          <w:ilvl w:val="0"/>
          <w:numId w:val="2"/>
        </w:numPr>
        <w:spacing w:before="240" w:after="240"/>
        <w:jc w:val="both"/>
        <w:rPr>
          <w:lang w:val="en-US"/>
        </w:rPr>
      </w:pPr>
      <w:r w:rsidRPr="009F6EDF">
        <w:rPr>
          <w:lang w:val="en-US"/>
        </w:rPr>
        <w:t>Support</w:t>
      </w:r>
    </w:p>
    <w:p w14:paraId="77A9AA14" w14:textId="77777777" w:rsidR="007E7B80" w:rsidRPr="009F6EDF" w:rsidRDefault="007E7B80" w:rsidP="007E7B80">
      <w:pPr>
        <w:pStyle w:val="Listenabsatz"/>
        <w:numPr>
          <w:ilvl w:val="0"/>
          <w:numId w:val="2"/>
        </w:numPr>
        <w:spacing w:before="240" w:after="240"/>
        <w:jc w:val="both"/>
        <w:rPr>
          <w:lang w:val="en-US"/>
        </w:rPr>
      </w:pPr>
      <w:r w:rsidRPr="009F6EDF">
        <w:rPr>
          <w:lang w:val="en-US"/>
        </w:rPr>
        <w:t>Maintenance</w:t>
      </w:r>
    </w:p>
    <w:p w14:paraId="42EEA9B7" w14:textId="77777777" w:rsidR="007E7B80" w:rsidRPr="009F6EDF" w:rsidRDefault="007E7B80" w:rsidP="007E7B80">
      <w:pPr>
        <w:pStyle w:val="Listenabsatz"/>
        <w:numPr>
          <w:ilvl w:val="0"/>
          <w:numId w:val="2"/>
        </w:numPr>
        <w:spacing w:before="240" w:after="240"/>
        <w:jc w:val="both"/>
        <w:rPr>
          <w:lang w:val="en-US"/>
        </w:rPr>
      </w:pPr>
      <w:r w:rsidRPr="009F6EDF">
        <w:rPr>
          <w:lang w:val="en-US"/>
        </w:rPr>
        <w:t>Upgrades / hardening</w:t>
      </w:r>
    </w:p>
    <w:p w14:paraId="58F1B369" w14:textId="77777777" w:rsidR="007E7B80" w:rsidRPr="009F6EDF" w:rsidRDefault="007E7B80" w:rsidP="007E7B80">
      <w:pPr>
        <w:pStyle w:val="Listenabsatz"/>
        <w:numPr>
          <w:ilvl w:val="0"/>
          <w:numId w:val="2"/>
        </w:numPr>
        <w:spacing w:before="240" w:after="240"/>
        <w:jc w:val="both"/>
        <w:rPr>
          <w:lang w:val="en-US"/>
        </w:rPr>
      </w:pPr>
      <w:r w:rsidRPr="009F6EDF">
        <w:rPr>
          <w:lang w:val="en-US"/>
        </w:rPr>
        <w:t>Unlimited number of devices</w:t>
      </w:r>
    </w:p>
    <w:p w14:paraId="4B7CAC7E" w14:textId="77777777" w:rsidR="007E7B80" w:rsidRPr="009F6EDF" w:rsidRDefault="007E7B80" w:rsidP="007E7B80">
      <w:pPr>
        <w:pStyle w:val="Listenabsatz"/>
        <w:numPr>
          <w:ilvl w:val="0"/>
          <w:numId w:val="2"/>
        </w:numPr>
        <w:spacing w:before="240" w:after="240"/>
        <w:jc w:val="both"/>
        <w:rPr>
          <w:lang w:val="de-DE"/>
        </w:rPr>
      </w:pPr>
      <w:r w:rsidRPr="009F6EDF">
        <w:rPr>
          <w:lang w:val="de-DE"/>
        </w:rPr>
        <w:t xml:space="preserve">Unlimited </w:t>
      </w:r>
      <w:proofErr w:type="spellStart"/>
      <w:r w:rsidRPr="009F6EDF">
        <w:rPr>
          <w:lang w:val="de-DE"/>
        </w:rPr>
        <w:t>number</w:t>
      </w:r>
      <w:proofErr w:type="spellEnd"/>
      <w:r w:rsidRPr="009F6EDF">
        <w:rPr>
          <w:lang w:val="de-DE"/>
        </w:rPr>
        <w:t xml:space="preserve"> </w:t>
      </w:r>
      <w:proofErr w:type="spellStart"/>
      <w:r w:rsidRPr="009F6EDF">
        <w:rPr>
          <w:lang w:val="de-DE"/>
        </w:rPr>
        <w:t>of</w:t>
      </w:r>
      <w:proofErr w:type="spellEnd"/>
      <w:r w:rsidRPr="009F6EDF">
        <w:rPr>
          <w:lang w:val="de-DE"/>
        </w:rPr>
        <w:t xml:space="preserve"> </w:t>
      </w:r>
      <w:proofErr w:type="spellStart"/>
      <w:r w:rsidRPr="009F6EDF">
        <w:rPr>
          <w:lang w:val="de-DE"/>
        </w:rPr>
        <w:t>downloads</w:t>
      </w:r>
      <w:proofErr w:type="spellEnd"/>
    </w:p>
    <w:p w14:paraId="08F24674" w14:textId="77777777" w:rsidR="007E7B80" w:rsidRPr="00D3124A" w:rsidRDefault="007E7B80" w:rsidP="007E7B80">
      <w:pPr>
        <w:pStyle w:val="Listenabsatz"/>
        <w:numPr>
          <w:ilvl w:val="0"/>
          <w:numId w:val="2"/>
        </w:numPr>
        <w:spacing w:before="240" w:after="240"/>
        <w:jc w:val="both"/>
        <w:rPr>
          <w:lang w:val="en-US"/>
        </w:rPr>
      </w:pPr>
      <w:r w:rsidRPr="00D3124A">
        <w:rPr>
          <w:lang w:val="en-US"/>
        </w:rPr>
        <w:t>All functionalities offered in accordance with the service d</w:t>
      </w:r>
      <w:r>
        <w:rPr>
          <w:lang w:val="en-US"/>
        </w:rPr>
        <w:t>escription</w:t>
      </w:r>
    </w:p>
    <w:p w14:paraId="51857A1A" w14:textId="77777777" w:rsidR="007E7B80" w:rsidRPr="009E78BF" w:rsidRDefault="007E7B80" w:rsidP="007E7B80">
      <w:pPr>
        <w:spacing w:before="240" w:after="240"/>
        <w:jc w:val="both"/>
        <w:rPr>
          <w:lang w:val="en-US"/>
        </w:rPr>
      </w:pPr>
      <w:r w:rsidRPr="00D3124A">
        <w:rPr>
          <w:lang w:val="en-US"/>
        </w:rPr>
        <w:t xml:space="preserve">All </w:t>
      </w:r>
      <w:r w:rsidRPr="009E78BF">
        <w:rPr>
          <w:lang w:val="en-US"/>
        </w:rPr>
        <w:t xml:space="preserve">prices must be stated in EUR (net, excluding VAT) and must include all applicable costs such as transport, travel and any other costs required for complete service delivery and effective cooperation with the </w:t>
      </w:r>
      <w:r>
        <w:rPr>
          <w:lang w:val="en-US"/>
        </w:rPr>
        <w:t>client</w:t>
      </w:r>
      <w:r w:rsidRPr="009E78BF">
        <w:rPr>
          <w:lang w:val="en-US"/>
        </w:rPr>
        <w:t>.</w:t>
      </w:r>
    </w:p>
    <w:p w14:paraId="08AA0680" w14:textId="2FF06D6F" w:rsidR="007E7B80" w:rsidRPr="00BF2C0C" w:rsidRDefault="007E7B80" w:rsidP="007E7B80">
      <w:pPr>
        <w:spacing w:before="240" w:after="240"/>
        <w:jc w:val="both"/>
        <w:rPr>
          <w:b/>
          <w:bCs/>
          <w:lang w:val="en-US"/>
        </w:rPr>
      </w:pPr>
      <w:r w:rsidRPr="00BF2C0C">
        <w:rPr>
          <w:b/>
          <w:bCs/>
          <w:lang w:val="en-US"/>
        </w:rPr>
        <w:t xml:space="preserve">The bidder must only complete the grey cells in accordance with the description and may not make any changes to the structure or composition of the price sheet. Otherwise, the offer must be </w:t>
      </w:r>
      <w:r w:rsidR="00715D58">
        <w:rPr>
          <w:b/>
          <w:bCs/>
          <w:lang w:val="en-US"/>
        </w:rPr>
        <w:t>rejected/</w:t>
      </w:r>
      <w:r w:rsidR="004D44D4">
        <w:rPr>
          <w:b/>
          <w:bCs/>
          <w:lang w:val="en-US"/>
        </w:rPr>
        <w:t>excluded</w:t>
      </w:r>
      <w:r w:rsidRPr="00BF2C0C">
        <w:rPr>
          <w:b/>
          <w:bCs/>
          <w:lang w:val="en-US"/>
        </w:rPr>
        <w:t>.</w:t>
      </w:r>
    </w:p>
    <w:p w14:paraId="7DC801D0" w14:textId="77777777" w:rsidR="007E7B80" w:rsidRDefault="007E7B80" w:rsidP="007E7B80">
      <w:pPr>
        <w:pStyle w:val="berschrift2"/>
        <w:spacing w:before="240" w:after="240"/>
        <w:rPr>
          <w:b/>
          <w:bCs/>
          <w:lang w:val="en-US"/>
        </w:rPr>
      </w:pPr>
      <w:r w:rsidRPr="00A964DB">
        <w:rPr>
          <w:b/>
          <w:bCs/>
          <w:lang w:val="en-US"/>
        </w:rPr>
        <w:t>A</w:t>
      </w:r>
      <w:r>
        <w:rPr>
          <w:b/>
          <w:bCs/>
          <w:lang w:val="en-US"/>
        </w:rPr>
        <w:t xml:space="preserve"> – Mandatory functionalities</w:t>
      </w:r>
    </w:p>
    <w:p w14:paraId="7CFA73EE" w14:textId="77777777" w:rsidR="007E7B80" w:rsidRDefault="007E7B80" w:rsidP="007E7B80">
      <w:pPr>
        <w:rPr>
          <w:lang w:val="en-US"/>
        </w:rPr>
      </w:pPr>
      <w:r w:rsidRPr="009E78BF">
        <w:rPr>
          <w:lang w:val="en-US"/>
        </w:rPr>
        <w:t>The total monthly cost must be entered for all 5 categories. Failure to provide price information will result in the bid being rejected.</w:t>
      </w:r>
    </w:p>
    <w:p w14:paraId="2F3E7CE7" w14:textId="77777777" w:rsidR="007E7B80" w:rsidRPr="001E273B" w:rsidRDefault="007E7B80" w:rsidP="007E7B80">
      <w:pPr>
        <w:rPr>
          <w:lang w:val="en-US"/>
        </w:rPr>
      </w:pPr>
    </w:p>
    <w:tbl>
      <w:tblPr>
        <w:tblW w:w="8214" w:type="dxa"/>
        <w:jc w:val="center"/>
        <w:tblBorders>
          <w:top w:val="nil"/>
          <w:left w:val="nil"/>
          <w:bottom w:val="nil"/>
          <w:right w:val="nil"/>
          <w:insideH w:val="nil"/>
          <w:insideV w:val="nil"/>
        </w:tblBorders>
        <w:tblLayout w:type="fixed"/>
        <w:tblLook w:val="0600" w:firstRow="0" w:lastRow="0" w:firstColumn="0" w:lastColumn="0" w:noHBand="1" w:noVBand="1"/>
      </w:tblPr>
      <w:tblGrid>
        <w:gridCol w:w="1268"/>
        <w:gridCol w:w="3260"/>
        <w:gridCol w:w="3686"/>
      </w:tblGrid>
      <w:tr w:rsidR="007E7B80" w:rsidRPr="00944E3C" w14:paraId="71271BEB" w14:textId="77777777" w:rsidTr="00C11756">
        <w:trPr>
          <w:trHeight w:val="527"/>
          <w:jc w:val="center"/>
        </w:trPr>
        <w:tc>
          <w:tcPr>
            <w:tcW w:w="1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808080" w:themeFill="background1" w:themeFillShade="80"/>
          </w:tcPr>
          <w:p w14:paraId="0B4A851C" w14:textId="77777777" w:rsidR="007E7B80" w:rsidRDefault="007E7B80" w:rsidP="00C11756">
            <w:pPr>
              <w:rPr>
                <w:b/>
                <w:bCs/>
                <w:color w:val="FFFFFF"/>
                <w:lang w:val="de-DE"/>
              </w:rPr>
            </w:pPr>
            <w:proofErr w:type="spellStart"/>
            <w:r>
              <w:rPr>
                <w:b/>
                <w:bCs/>
                <w:color w:val="FFFFFF"/>
                <w:lang w:val="de-DE"/>
              </w:rPr>
              <w:t>Category</w:t>
            </w:r>
            <w:proofErr w:type="spellEnd"/>
          </w:p>
        </w:tc>
        <w:tc>
          <w:tcPr>
            <w:tcW w:w="32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808080" w:themeFill="background1" w:themeFillShade="80"/>
            <w:tcMar>
              <w:top w:w="100" w:type="dxa"/>
              <w:left w:w="100" w:type="dxa"/>
              <w:bottom w:w="100" w:type="dxa"/>
              <w:right w:w="100" w:type="dxa"/>
            </w:tcMar>
          </w:tcPr>
          <w:p w14:paraId="44E138D2" w14:textId="77777777" w:rsidR="007E7B80" w:rsidRDefault="007E7B80" w:rsidP="00C11756">
            <w:pPr>
              <w:rPr>
                <w:b/>
                <w:bCs/>
                <w:color w:val="FFFFFF"/>
                <w:lang w:val="de-DE"/>
              </w:rPr>
            </w:pPr>
            <w:proofErr w:type="spellStart"/>
            <w:r>
              <w:rPr>
                <w:b/>
                <w:bCs/>
                <w:color w:val="FFFFFF"/>
                <w:lang w:val="de-DE"/>
              </w:rPr>
              <w:t>Protected</w:t>
            </w:r>
            <w:proofErr w:type="spellEnd"/>
            <w:r w:rsidRPr="00660109">
              <w:rPr>
                <w:b/>
                <w:bCs/>
                <w:color w:val="FFFFFF"/>
                <w:lang w:val="de-DE"/>
              </w:rPr>
              <w:t xml:space="preserve"> </w:t>
            </w:r>
            <w:proofErr w:type="spellStart"/>
            <w:r>
              <w:rPr>
                <w:b/>
                <w:bCs/>
                <w:color w:val="FFFFFF"/>
                <w:lang w:val="de-DE"/>
              </w:rPr>
              <w:t>devices</w:t>
            </w:r>
            <w:proofErr w:type="spellEnd"/>
          </w:p>
          <w:p w14:paraId="0F4DAC3B" w14:textId="77777777" w:rsidR="007E7B80" w:rsidRPr="004E42C5" w:rsidRDefault="007E7B80" w:rsidP="00C11756">
            <w:pPr>
              <w:rPr>
                <w:color w:val="FFFFFF"/>
                <w:lang w:val="de-DE"/>
              </w:rPr>
            </w:pPr>
            <w:r w:rsidRPr="004E42C5">
              <w:rPr>
                <w:color w:val="FFFFFF"/>
                <w:sz w:val="20"/>
                <w:szCs w:val="20"/>
                <w:lang w:val="de-DE"/>
              </w:rPr>
              <w:t>[</w:t>
            </w:r>
            <w:proofErr w:type="spellStart"/>
            <w:r>
              <w:rPr>
                <w:color w:val="FFFFFF"/>
                <w:sz w:val="20"/>
                <w:szCs w:val="20"/>
                <w:lang w:val="de-DE"/>
              </w:rPr>
              <w:t>number</w:t>
            </w:r>
            <w:proofErr w:type="spellEnd"/>
            <w:r w:rsidRPr="004E42C5">
              <w:rPr>
                <w:color w:val="FFFFFF"/>
                <w:sz w:val="20"/>
                <w:szCs w:val="20"/>
                <w:lang w:val="de-DE"/>
              </w:rPr>
              <w:t>]</w:t>
            </w:r>
          </w:p>
        </w:tc>
        <w:tc>
          <w:tcPr>
            <w:tcW w:w="3686" w:type="dxa"/>
            <w:tcBorders>
              <w:top w:val="single" w:sz="6" w:space="0" w:color="000000" w:themeColor="text1"/>
              <w:left w:val="nil"/>
              <w:bottom w:val="single" w:sz="6" w:space="0" w:color="000000" w:themeColor="text1"/>
              <w:right w:val="single" w:sz="6" w:space="0" w:color="000000" w:themeColor="text1"/>
            </w:tcBorders>
            <w:shd w:val="clear" w:color="auto" w:fill="808080" w:themeFill="background1" w:themeFillShade="80"/>
            <w:tcMar>
              <w:top w:w="100" w:type="dxa"/>
              <w:left w:w="100" w:type="dxa"/>
              <w:bottom w:w="100" w:type="dxa"/>
              <w:right w:w="100" w:type="dxa"/>
            </w:tcMar>
          </w:tcPr>
          <w:p w14:paraId="31D5020A" w14:textId="77777777" w:rsidR="007E7B80" w:rsidRPr="00944E3C" w:rsidRDefault="007E7B80" w:rsidP="00C11756">
            <w:pPr>
              <w:rPr>
                <w:b/>
                <w:bCs/>
                <w:color w:val="FFFFFF"/>
                <w:lang w:val="en-US"/>
              </w:rPr>
            </w:pPr>
            <w:r w:rsidRPr="00944E3C">
              <w:rPr>
                <w:b/>
                <w:bCs/>
                <w:color w:val="FFFFFF"/>
                <w:lang w:val="en-US"/>
              </w:rPr>
              <w:t>Total monthly c</w:t>
            </w:r>
            <w:r>
              <w:rPr>
                <w:b/>
                <w:bCs/>
                <w:color w:val="FFFFFF"/>
                <w:lang w:val="en-US"/>
              </w:rPr>
              <w:t>ost</w:t>
            </w:r>
          </w:p>
          <w:p w14:paraId="53BC12B9" w14:textId="77777777" w:rsidR="007E7B80" w:rsidRPr="00944E3C" w:rsidRDefault="007E7B80" w:rsidP="00C11756">
            <w:pPr>
              <w:rPr>
                <w:color w:val="FFFFFF"/>
                <w:lang w:val="en-US"/>
              </w:rPr>
            </w:pPr>
            <w:r w:rsidRPr="00944E3C">
              <w:rPr>
                <w:color w:val="FFFFFF"/>
                <w:sz w:val="20"/>
                <w:szCs w:val="20"/>
                <w:lang w:val="en-US"/>
              </w:rPr>
              <w:t>[EUR]</w:t>
            </w:r>
          </w:p>
        </w:tc>
      </w:tr>
      <w:tr w:rsidR="007E7B80" w14:paraId="104CA501" w14:textId="77777777" w:rsidTr="00C11756">
        <w:trPr>
          <w:trHeight w:val="450"/>
          <w:jc w:val="center"/>
        </w:trPr>
        <w:tc>
          <w:tcPr>
            <w:tcW w:w="1268" w:type="dxa"/>
            <w:tcBorders>
              <w:top w:val="nil"/>
              <w:left w:val="single" w:sz="6" w:space="0" w:color="000000" w:themeColor="text1"/>
              <w:bottom w:val="single" w:sz="6" w:space="0" w:color="000000" w:themeColor="text1"/>
              <w:right w:val="single" w:sz="6" w:space="0" w:color="000000" w:themeColor="text1"/>
            </w:tcBorders>
            <w:vAlign w:val="center"/>
          </w:tcPr>
          <w:p w14:paraId="046708FA" w14:textId="77777777" w:rsidR="007E7B80" w:rsidRPr="004E42C5" w:rsidRDefault="007E7B80" w:rsidP="00C11756">
            <w:pPr>
              <w:jc w:val="center"/>
              <w:rPr>
                <w:lang w:val="en-US"/>
              </w:rPr>
            </w:pPr>
            <w:r>
              <w:rPr>
                <w:lang w:val="en-US"/>
              </w:rPr>
              <w:t>1</w:t>
            </w:r>
          </w:p>
        </w:tc>
        <w:tc>
          <w:tcPr>
            <w:tcW w:w="3260" w:type="dxa"/>
            <w:tcBorders>
              <w:top w:val="nil"/>
              <w:left w:val="single" w:sz="6" w:space="0" w:color="000000" w:themeColor="text1"/>
              <w:bottom w:val="single" w:sz="6" w:space="0" w:color="000000" w:themeColor="text1"/>
              <w:right w:val="single" w:sz="6" w:space="0" w:color="000000" w:themeColor="text1"/>
            </w:tcBorders>
            <w:tcMar>
              <w:top w:w="100" w:type="dxa"/>
              <w:left w:w="100" w:type="dxa"/>
              <w:bottom w:w="100" w:type="dxa"/>
              <w:right w:w="100" w:type="dxa"/>
            </w:tcMar>
            <w:vAlign w:val="center"/>
          </w:tcPr>
          <w:p w14:paraId="7FD00302" w14:textId="77777777" w:rsidR="007E7B80" w:rsidRPr="004E42C5" w:rsidRDefault="007E7B80" w:rsidP="00C11756">
            <w:pPr>
              <w:rPr>
                <w:lang w:val="en-US"/>
              </w:rPr>
            </w:pPr>
            <w:r w:rsidRPr="004E42C5">
              <w:rPr>
                <w:lang w:val="en-US"/>
              </w:rPr>
              <w:t>0 – 1.000.000</w:t>
            </w:r>
          </w:p>
        </w:tc>
        <w:tc>
          <w:tcPr>
            <w:tcW w:w="3686" w:type="dxa"/>
            <w:tcBorders>
              <w:top w:val="nil"/>
              <w:left w:val="nil"/>
              <w:bottom w:val="single" w:sz="6" w:space="0" w:color="000000" w:themeColor="text1"/>
              <w:right w:val="single" w:sz="6" w:space="0" w:color="000000" w:themeColor="text1"/>
            </w:tcBorders>
            <w:shd w:val="clear" w:color="auto" w:fill="F2F2F2" w:themeFill="background1" w:themeFillShade="F2"/>
            <w:tcMar>
              <w:top w:w="100" w:type="dxa"/>
              <w:left w:w="100" w:type="dxa"/>
              <w:bottom w:w="100" w:type="dxa"/>
              <w:right w:w="100" w:type="dxa"/>
            </w:tcMar>
          </w:tcPr>
          <w:p w14:paraId="6A1059A9" w14:textId="77777777" w:rsidR="007E7B80" w:rsidRDefault="007E7B80" w:rsidP="00C11756">
            <w:r>
              <w:t xml:space="preserve"> </w:t>
            </w:r>
          </w:p>
        </w:tc>
      </w:tr>
      <w:tr w:rsidR="007E7B80" w14:paraId="403720E6" w14:textId="77777777" w:rsidTr="00C11756">
        <w:trPr>
          <w:trHeight w:val="450"/>
          <w:jc w:val="center"/>
        </w:trPr>
        <w:tc>
          <w:tcPr>
            <w:tcW w:w="126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762CD76" w14:textId="77777777" w:rsidR="007E7B80" w:rsidRPr="004E42C5" w:rsidRDefault="007E7B80" w:rsidP="00C11756">
            <w:pPr>
              <w:jc w:val="center"/>
              <w:rPr>
                <w:lang w:val="en-US"/>
              </w:rPr>
            </w:pPr>
            <w:r>
              <w:rPr>
                <w:lang w:val="en-US"/>
              </w:rPr>
              <w:t>2</w:t>
            </w:r>
          </w:p>
        </w:tc>
        <w:tc>
          <w:tcPr>
            <w:tcW w:w="32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00" w:type="dxa"/>
              <w:left w:w="100" w:type="dxa"/>
              <w:bottom w:w="100" w:type="dxa"/>
              <w:right w:w="100" w:type="dxa"/>
            </w:tcMar>
            <w:vAlign w:val="center"/>
          </w:tcPr>
          <w:p w14:paraId="54710740" w14:textId="77777777" w:rsidR="007E7B80" w:rsidRPr="004E42C5" w:rsidRDefault="007E7B80" w:rsidP="00C11756">
            <w:pPr>
              <w:rPr>
                <w:lang w:val="en-US"/>
              </w:rPr>
            </w:pPr>
            <w:r w:rsidRPr="004E42C5">
              <w:rPr>
                <w:lang w:val="en-US"/>
              </w:rPr>
              <w:t>1.000.001 – 5.000.000</w:t>
            </w:r>
          </w:p>
        </w:tc>
        <w:tc>
          <w:tcPr>
            <w:tcW w:w="3686" w:type="dxa"/>
            <w:tcBorders>
              <w:top w:val="single" w:sz="6" w:space="0" w:color="000000" w:themeColor="text1"/>
              <w:left w:val="nil"/>
              <w:bottom w:val="single" w:sz="6" w:space="0" w:color="000000" w:themeColor="text1"/>
              <w:right w:val="single" w:sz="6" w:space="0" w:color="000000" w:themeColor="text1"/>
            </w:tcBorders>
            <w:shd w:val="clear" w:color="auto" w:fill="F2F2F2" w:themeFill="background1" w:themeFillShade="F2"/>
            <w:tcMar>
              <w:top w:w="100" w:type="dxa"/>
              <w:left w:w="100" w:type="dxa"/>
              <w:bottom w:w="100" w:type="dxa"/>
              <w:right w:w="100" w:type="dxa"/>
            </w:tcMar>
          </w:tcPr>
          <w:p w14:paraId="0F3004DC" w14:textId="77777777" w:rsidR="007E7B80" w:rsidRDefault="007E7B80" w:rsidP="00C11756">
            <w:pPr>
              <w:rPr>
                <w:b/>
                <w:bCs/>
              </w:rPr>
            </w:pPr>
            <w:r>
              <w:rPr>
                <w:b/>
                <w:bCs/>
              </w:rPr>
              <w:t xml:space="preserve"> </w:t>
            </w:r>
          </w:p>
        </w:tc>
      </w:tr>
      <w:tr w:rsidR="007E7B80" w14:paraId="6F47CE59" w14:textId="77777777" w:rsidTr="00C11756">
        <w:trPr>
          <w:trHeight w:val="450"/>
          <w:jc w:val="center"/>
        </w:trPr>
        <w:tc>
          <w:tcPr>
            <w:tcW w:w="126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DF5DB24" w14:textId="77777777" w:rsidR="007E7B80" w:rsidRPr="004E42C5" w:rsidRDefault="007E7B80" w:rsidP="00C11756">
            <w:pPr>
              <w:jc w:val="center"/>
              <w:rPr>
                <w:lang w:val="en-US"/>
              </w:rPr>
            </w:pPr>
            <w:r>
              <w:rPr>
                <w:lang w:val="en-US"/>
              </w:rPr>
              <w:t>3</w:t>
            </w:r>
          </w:p>
        </w:tc>
        <w:tc>
          <w:tcPr>
            <w:tcW w:w="32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00" w:type="dxa"/>
              <w:left w:w="100" w:type="dxa"/>
              <w:bottom w:w="100" w:type="dxa"/>
              <w:right w:w="100" w:type="dxa"/>
            </w:tcMar>
            <w:vAlign w:val="center"/>
          </w:tcPr>
          <w:p w14:paraId="7BE4C7C5" w14:textId="77777777" w:rsidR="007E7B80" w:rsidRPr="004E42C5" w:rsidRDefault="007E7B80" w:rsidP="00C11756">
            <w:pPr>
              <w:rPr>
                <w:lang w:val="en-US"/>
              </w:rPr>
            </w:pPr>
            <w:r w:rsidRPr="004E42C5">
              <w:rPr>
                <w:lang w:val="en-US"/>
              </w:rPr>
              <w:t>5.000.001 – 10.000.000</w:t>
            </w:r>
          </w:p>
        </w:tc>
        <w:tc>
          <w:tcPr>
            <w:tcW w:w="3686" w:type="dxa"/>
            <w:tcBorders>
              <w:top w:val="single" w:sz="6" w:space="0" w:color="000000" w:themeColor="text1"/>
              <w:left w:val="nil"/>
              <w:bottom w:val="single" w:sz="6" w:space="0" w:color="000000" w:themeColor="text1"/>
              <w:right w:val="single" w:sz="6" w:space="0" w:color="000000" w:themeColor="text1"/>
            </w:tcBorders>
            <w:shd w:val="clear" w:color="auto" w:fill="F2F2F2" w:themeFill="background1" w:themeFillShade="F2"/>
            <w:tcMar>
              <w:top w:w="100" w:type="dxa"/>
              <w:left w:w="100" w:type="dxa"/>
              <w:bottom w:w="100" w:type="dxa"/>
              <w:right w:w="100" w:type="dxa"/>
            </w:tcMar>
          </w:tcPr>
          <w:p w14:paraId="12D0CCA7" w14:textId="77777777" w:rsidR="007E7B80" w:rsidRDefault="007E7B80" w:rsidP="00C11756">
            <w:pPr>
              <w:rPr>
                <w:b/>
                <w:bCs/>
              </w:rPr>
            </w:pPr>
          </w:p>
        </w:tc>
      </w:tr>
      <w:tr w:rsidR="007E7B80" w14:paraId="5B785B76" w14:textId="77777777" w:rsidTr="00C11756">
        <w:trPr>
          <w:trHeight w:val="450"/>
          <w:jc w:val="center"/>
        </w:trPr>
        <w:tc>
          <w:tcPr>
            <w:tcW w:w="126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0C42890" w14:textId="77777777" w:rsidR="007E7B80" w:rsidRPr="004E42C5" w:rsidRDefault="007E7B80" w:rsidP="00C11756">
            <w:pPr>
              <w:jc w:val="center"/>
              <w:rPr>
                <w:lang w:val="en-US"/>
              </w:rPr>
            </w:pPr>
            <w:r>
              <w:rPr>
                <w:lang w:val="en-US"/>
              </w:rPr>
              <w:t>4</w:t>
            </w:r>
          </w:p>
        </w:tc>
        <w:tc>
          <w:tcPr>
            <w:tcW w:w="32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00" w:type="dxa"/>
              <w:left w:w="100" w:type="dxa"/>
              <w:bottom w:w="100" w:type="dxa"/>
              <w:right w:w="100" w:type="dxa"/>
            </w:tcMar>
            <w:vAlign w:val="center"/>
          </w:tcPr>
          <w:p w14:paraId="7054FC71" w14:textId="77777777" w:rsidR="007E7B80" w:rsidRPr="004E42C5" w:rsidRDefault="007E7B80" w:rsidP="00C11756">
            <w:pPr>
              <w:rPr>
                <w:lang w:val="en-US"/>
              </w:rPr>
            </w:pPr>
            <w:r w:rsidRPr="004E42C5">
              <w:rPr>
                <w:lang w:val="en-US"/>
              </w:rPr>
              <w:t>10.000.001 – 20.000.000</w:t>
            </w:r>
          </w:p>
        </w:tc>
        <w:tc>
          <w:tcPr>
            <w:tcW w:w="3686" w:type="dxa"/>
            <w:tcBorders>
              <w:top w:val="single" w:sz="6" w:space="0" w:color="000000" w:themeColor="text1"/>
              <w:left w:val="nil"/>
              <w:bottom w:val="single" w:sz="6" w:space="0" w:color="000000" w:themeColor="text1"/>
              <w:right w:val="single" w:sz="6" w:space="0" w:color="000000" w:themeColor="text1"/>
            </w:tcBorders>
            <w:shd w:val="clear" w:color="auto" w:fill="F2F2F2" w:themeFill="background1" w:themeFillShade="F2"/>
            <w:tcMar>
              <w:top w:w="100" w:type="dxa"/>
              <w:left w:w="100" w:type="dxa"/>
              <w:bottom w:w="100" w:type="dxa"/>
              <w:right w:w="100" w:type="dxa"/>
            </w:tcMar>
          </w:tcPr>
          <w:p w14:paraId="07657CFB" w14:textId="77777777" w:rsidR="007E7B80" w:rsidRDefault="007E7B80" w:rsidP="00C11756">
            <w:pPr>
              <w:rPr>
                <w:b/>
                <w:bCs/>
              </w:rPr>
            </w:pPr>
          </w:p>
        </w:tc>
      </w:tr>
      <w:tr w:rsidR="007E7B80" w14:paraId="12727DC5" w14:textId="77777777" w:rsidTr="00C11756">
        <w:trPr>
          <w:trHeight w:val="450"/>
          <w:jc w:val="center"/>
        </w:trPr>
        <w:tc>
          <w:tcPr>
            <w:tcW w:w="1268" w:type="dxa"/>
            <w:tcBorders>
              <w:top w:val="single" w:sz="6" w:space="0" w:color="000000" w:themeColor="text1"/>
              <w:left w:val="single" w:sz="6" w:space="0" w:color="000000" w:themeColor="text1"/>
              <w:bottom w:val="single" w:sz="4" w:space="0" w:color="auto"/>
              <w:right w:val="single" w:sz="6" w:space="0" w:color="000000" w:themeColor="text1"/>
            </w:tcBorders>
            <w:vAlign w:val="center"/>
          </w:tcPr>
          <w:p w14:paraId="33599323" w14:textId="77777777" w:rsidR="007E7B80" w:rsidRPr="004E42C5" w:rsidRDefault="007E7B80" w:rsidP="00C11756">
            <w:pPr>
              <w:jc w:val="center"/>
              <w:rPr>
                <w:lang w:val="en-US"/>
              </w:rPr>
            </w:pPr>
            <w:r>
              <w:rPr>
                <w:lang w:val="en-US"/>
              </w:rPr>
              <w:t>5</w:t>
            </w:r>
          </w:p>
        </w:tc>
        <w:tc>
          <w:tcPr>
            <w:tcW w:w="3260" w:type="dxa"/>
            <w:tcBorders>
              <w:top w:val="single" w:sz="6" w:space="0" w:color="000000" w:themeColor="text1"/>
              <w:left w:val="single" w:sz="6" w:space="0" w:color="000000" w:themeColor="text1"/>
              <w:bottom w:val="single" w:sz="4" w:space="0" w:color="auto"/>
              <w:right w:val="single" w:sz="6" w:space="0" w:color="000000" w:themeColor="text1"/>
            </w:tcBorders>
            <w:tcMar>
              <w:top w:w="100" w:type="dxa"/>
              <w:left w:w="100" w:type="dxa"/>
              <w:bottom w:w="100" w:type="dxa"/>
              <w:right w:w="100" w:type="dxa"/>
            </w:tcMar>
            <w:vAlign w:val="center"/>
          </w:tcPr>
          <w:p w14:paraId="0E6E7451" w14:textId="77777777" w:rsidR="007E7B80" w:rsidRPr="004E42C5" w:rsidRDefault="007E7B80" w:rsidP="00C11756">
            <w:pPr>
              <w:rPr>
                <w:lang w:val="en-US"/>
              </w:rPr>
            </w:pPr>
            <w:r>
              <w:rPr>
                <w:lang w:val="en-US"/>
              </w:rPr>
              <w:t xml:space="preserve">From </w:t>
            </w:r>
            <w:r w:rsidRPr="004E42C5">
              <w:rPr>
                <w:lang w:val="en-US"/>
              </w:rPr>
              <w:t>20.000.001</w:t>
            </w:r>
          </w:p>
        </w:tc>
        <w:tc>
          <w:tcPr>
            <w:tcW w:w="3686" w:type="dxa"/>
            <w:tcBorders>
              <w:top w:val="single" w:sz="6" w:space="0" w:color="000000" w:themeColor="text1"/>
              <w:left w:val="nil"/>
              <w:bottom w:val="single" w:sz="4" w:space="0" w:color="auto"/>
              <w:right w:val="single" w:sz="6" w:space="0" w:color="000000" w:themeColor="text1"/>
            </w:tcBorders>
            <w:shd w:val="clear" w:color="auto" w:fill="F2F2F2" w:themeFill="background1" w:themeFillShade="F2"/>
            <w:tcMar>
              <w:top w:w="100" w:type="dxa"/>
              <w:left w:w="100" w:type="dxa"/>
              <w:bottom w:w="100" w:type="dxa"/>
              <w:right w:w="100" w:type="dxa"/>
            </w:tcMar>
          </w:tcPr>
          <w:p w14:paraId="3E710FA8" w14:textId="77777777" w:rsidR="007E7B80" w:rsidRDefault="007E7B80" w:rsidP="00C11756">
            <w:pPr>
              <w:rPr>
                <w:b/>
                <w:bCs/>
              </w:rPr>
            </w:pPr>
          </w:p>
        </w:tc>
      </w:tr>
    </w:tbl>
    <w:p w14:paraId="4D4FAAF5" w14:textId="77777777" w:rsidR="007E7B80" w:rsidRDefault="007E7B80" w:rsidP="007E7B80">
      <w:pPr>
        <w:rPr>
          <w:lang w:val="de-DE"/>
        </w:rPr>
      </w:pPr>
    </w:p>
    <w:p w14:paraId="045E6248" w14:textId="77777777" w:rsidR="007E7B80" w:rsidRPr="00F814F5" w:rsidRDefault="007E7B80" w:rsidP="007E7B80">
      <w:pPr>
        <w:spacing w:before="240" w:after="240"/>
        <w:jc w:val="both"/>
        <w:rPr>
          <w:lang w:val="en-US"/>
        </w:rPr>
      </w:pPr>
      <w:r w:rsidRPr="00F814F5">
        <w:rPr>
          <w:lang w:val="en-US"/>
        </w:rPr>
        <w:lastRenderedPageBreak/>
        <w:t xml:space="preserve">Please note the following information: </w:t>
      </w:r>
    </w:p>
    <w:p w14:paraId="33ED1F80" w14:textId="77777777" w:rsidR="007E7B80" w:rsidRPr="00F814F5" w:rsidRDefault="007E7B80" w:rsidP="007E7B80">
      <w:pPr>
        <w:pStyle w:val="Listenabsatz"/>
        <w:numPr>
          <w:ilvl w:val="0"/>
          <w:numId w:val="1"/>
        </w:numPr>
        <w:spacing w:before="240" w:after="240"/>
        <w:jc w:val="both"/>
        <w:rPr>
          <w:lang w:val="en-US"/>
        </w:rPr>
      </w:pPr>
      <w:r w:rsidRPr="00F814F5">
        <w:rPr>
          <w:lang w:val="en-US"/>
        </w:rPr>
        <w:t>The total monthly costs apply as a flat rate per device tier.</w:t>
      </w:r>
    </w:p>
    <w:p w14:paraId="2ADE45F2" w14:textId="77777777" w:rsidR="007E7B80" w:rsidRDefault="007E7B80" w:rsidP="007E7B80">
      <w:pPr>
        <w:pStyle w:val="Listenabsatz"/>
        <w:numPr>
          <w:ilvl w:val="0"/>
          <w:numId w:val="1"/>
        </w:numPr>
        <w:spacing w:before="240" w:after="240"/>
        <w:jc w:val="both"/>
        <w:rPr>
          <w:lang w:val="en-US"/>
        </w:rPr>
      </w:pPr>
      <w:r w:rsidRPr="00F814F5">
        <w:rPr>
          <w:lang w:val="en-US"/>
        </w:rPr>
        <w:t>No differentiation is made between active and inactive devices. Decisive is the number of apps installed on devices (i.e. uninstalled devices are not counted) and protected by RASP, based on the respective available store KPIs.</w:t>
      </w:r>
    </w:p>
    <w:p w14:paraId="2C2E2397" w14:textId="77777777" w:rsidR="007E7B80" w:rsidRPr="00C7409B" w:rsidRDefault="007E7B80" w:rsidP="007E7B80">
      <w:pPr>
        <w:pStyle w:val="Listenabsatz"/>
        <w:numPr>
          <w:ilvl w:val="0"/>
          <w:numId w:val="1"/>
        </w:numPr>
        <w:spacing w:before="240" w:after="240"/>
        <w:jc w:val="both"/>
        <w:rPr>
          <w:lang w:val="en-US"/>
        </w:rPr>
      </w:pPr>
      <w:r w:rsidRPr="00C7409B">
        <w:rPr>
          <w:lang w:val="en-US"/>
        </w:rPr>
        <w:t>For pricing purposes, a protected device is defined as a device on which at least one app protected by RASP is installed. Each protected app installation counts as one protected device for the purpose of device tier classification.</w:t>
      </w:r>
    </w:p>
    <w:p w14:paraId="0118270F" w14:textId="77777777" w:rsidR="007E7B80" w:rsidRPr="00F814F5" w:rsidRDefault="007E7B80" w:rsidP="007E7B80">
      <w:pPr>
        <w:pStyle w:val="Listenabsatz"/>
        <w:numPr>
          <w:ilvl w:val="0"/>
          <w:numId w:val="1"/>
        </w:numPr>
        <w:spacing w:before="240" w:after="240"/>
        <w:jc w:val="both"/>
        <w:rPr>
          <w:lang w:val="en-US"/>
        </w:rPr>
      </w:pPr>
      <w:r w:rsidRPr="00F814F5">
        <w:rPr>
          <w:lang w:val="en-US"/>
        </w:rPr>
        <w:t>The price covers the use of the SDK for iOS and Android (and potentially additional operating systems in the future) equally, including all functionalities in accordance with the service specification.</w:t>
      </w:r>
    </w:p>
    <w:p w14:paraId="169F1DB4" w14:textId="60A8558B" w:rsidR="007E7B80" w:rsidRPr="00F54C1A" w:rsidRDefault="007E7B80" w:rsidP="007E7B80">
      <w:pPr>
        <w:pStyle w:val="Listenabsatz"/>
        <w:numPr>
          <w:ilvl w:val="0"/>
          <w:numId w:val="1"/>
        </w:numPr>
        <w:spacing w:before="240" w:after="240"/>
        <w:jc w:val="both"/>
        <w:rPr>
          <w:lang w:val="en-US"/>
        </w:rPr>
      </w:pPr>
      <w:r w:rsidRPr="00F814F5">
        <w:rPr>
          <w:lang w:val="en-US"/>
        </w:rPr>
        <w:t xml:space="preserve">For calculating the applicable monthly price payable by the </w:t>
      </w:r>
      <w:r w:rsidR="00225154">
        <w:rPr>
          <w:lang w:val="en-US"/>
        </w:rPr>
        <w:t>C</w:t>
      </w:r>
      <w:r>
        <w:rPr>
          <w:lang w:val="en-US"/>
        </w:rPr>
        <w:t>lient</w:t>
      </w:r>
      <w:r w:rsidRPr="00F814F5">
        <w:rPr>
          <w:lang w:val="en-US"/>
        </w:rPr>
        <w:t xml:space="preserve">, the reference value at the end of the following month is used (last day at 23:59:59), e.g. </w:t>
      </w:r>
      <w:r w:rsidRPr="003B1888">
        <w:rPr>
          <w:i/>
          <w:iCs/>
          <w:lang w:val="en-US"/>
        </w:rPr>
        <w:t>Active Device Installs</w:t>
      </w:r>
      <w:r w:rsidRPr="00F814F5">
        <w:rPr>
          <w:lang w:val="en-US"/>
        </w:rPr>
        <w:t xml:space="preserve"> (Play Store) or </w:t>
      </w:r>
      <w:proofErr w:type="gramStart"/>
      <w:r w:rsidRPr="003B1888">
        <w:rPr>
          <w:i/>
          <w:iCs/>
          <w:lang w:val="en-US"/>
        </w:rPr>
        <w:t>Opt</w:t>
      </w:r>
      <w:proofErr w:type="gramEnd"/>
      <w:r w:rsidRPr="003B1888">
        <w:rPr>
          <w:rFonts w:ascii="Cambria Math" w:hAnsi="Cambria Math" w:cs="Cambria Math"/>
          <w:i/>
          <w:iCs/>
          <w:lang w:val="en-US"/>
        </w:rPr>
        <w:t>‑</w:t>
      </w:r>
      <w:r w:rsidRPr="003B1888">
        <w:rPr>
          <w:i/>
          <w:iCs/>
          <w:lang w:val="en-US"/>
        </w:rPr>
        <w:t>in Installations</w:t>
      </w:r>
      <w:r w:rsidRPr="00F814F5">
        <w:rPr>
          <w:lang w:val="en-US"/>
        </w:rPr>
        <w:t xml:space="preserve"> (App Store)</w:t>
      </w:r>
    </w:p>
    <w:p w14:paraId="71433F28" w14:textId="77777777" w:rsidR="007E7B80" w:rsidRPr="00C7656C" w:rsidRDefault="007E7B80" w:rsidP="007E7B80">
      <w:pPr>
        <w:pStyle w:val="berschrift2"/>
        <w:spacing w:before="240" w:after="240"/>
        <w:rPr>
          <w:b/>
          <w:bCs/>
          <w:lang w:val="en-US"/>
        </w:rPr>
      </w:pPr>
      <w:r w:rsidRPr="00C7656C">
        <w:rPr>
          <w:b/>
          <w:bCs/>
          <w:lang w:val="en-US"/>
        </w:rPr>
        <w:t>B – Optional functionalities</w:t>
      </w:r>
    </w:p>
    <w:p w14:paraId="3BDAD2C9" w14:textId="77777777" w:rsidR="007E7B80" w:rsidRPr="00D83C13" w:rsidRDefault="007E7B80" w:rsidP="007E7B80">
      <w:pPr>
        <w:spacing w:before="240" w:after="240"/>
        <w:jc w:val="both"/>
        <w:rPr>
          <w:lang w:val="en-US"/>
        </w:rPr>
      </w:pPr>
      <w:r w:rsidRPr="00D83C13">
        <w:rPr>
          <w:lang w:val="en-US"/>
        </w:rPr>
        <w:t xml:space="preserve">The </w:t>
      </w:r>
      <w:r w:rsidRPr="009E78BF">
        <w:rPr>
          <w:lang w:val="en-US"/>
        </w:rPr>
        <w:t xml:space="preserve">following </w:t>
      </w:r>
      <w:r>
        <w:rPr>
          <w:lang w:val="en-US"/>
        </w:rPr>
        <w:t>category</w:t>
      </w:r>
      <w:r w:rsidRPr="009E78BF">
        <w:rPr>
          <w:lang w:val="en-US"/>
        </w:rPr>
        <w:t xml:space="preserve"> includes a fixed price – independent of the number of installed devices or the transaction volume.</w:t>
      </w:r>
      <w:r w:rsidRPr="009E78BF">
        <w:t xml:space="preserve"> </w:t>
      </w:r>
      <w:r w:rsidRPr="009E78BF">
        <w:rPr>
          <w:lang w:val="en-US"/>
        </w:rPr>
        <w:t xml:space="preserve">This </w:t>
      </w:r>
      <w:r>
        <w:rPr>
          <w:lang w:val="en-US"/>
        </w:rPr>
        <w:t>category</w:t>
      </w:r>
      <w:r w:rsidRPr="009E78BF">
        <w:rPr>
          <w:lang w:val="en-US"/>
        </w:rPr>
        <w:t xml:space="preserve"> may or may not be included in the bid. If this </w:t>
      </w:r>
      <w:r>
        <w:rPr>
          <w:lang w:val="en-US"/>
        </w:rPr>
        <w:t>category</w:t>
      </w:r>
      <w:r w:rsidRPr="009E78BF">
        <w:rPr>
          <w:lang w:val="en-US"/>
        </w:rPr>
        <w:t xml:space="preserve"> is not included, do not enter a total monthly cost. In this case, the bid will receive 0 points for this award criterion during evaluation. If, however, it is included, enter the total monthly cost here.</w:t>
      </w:r>
    </w:p>
    <w:tbl>
      <w:tblPr>
        <w:tblW w:w="8356" w:type="dxa"/>
        <w:jc w:val="center"/>
        <w:tblBorders>
          <w:top w:val="nil"/>
          <w:left w:val="nil"/>
          <w:bottom w:val="nil"/>
          <w:right w:val="nil"/>
          <w:insideH w:val="nil"/>
          <w:insideV w:val="nil"/>
        </w:tblBorders>
        <w:tblLayout w:type="fixed"/>
        <w:tblLook w:val="0600" w:firstRow="0" w:lastRow="0" w:firstColumn="0" w:lastColumn="0" w:noHBand="1" w:noVBand="1"/>
      </w:tblPr>
      <w:tblGrid>
        <w:gridCol w:w="1268"/>
        <w:gridCol w:w="3119"/>
        <w:gridCol w:w="3969"/>
      </w:tblGrid>
      <w:tr w:rsidR="007E7B80" w:rsidRPr="00DB7506" w14:paraId="462C47E7" w14:textId="77777777" w:rsidTr="00C11756">
        <w:trPr>
          <w:trHeight w:val="298"/>
          <w:jc w:val="center"/>
        </w:trPr>
        <w:tc>
          <w:tcPr>
            <w:tcW w:w="1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808080" w:themeFill="background1" w:themeFillShade="80"/>
          </w:tcPr>
          <w:p w14:paraId="54D544CE" w14:textId="77777777" w:rsidR="007E7B80" w:rsidRDefault="007E7B80" w:rsidP="00C11756">
            <w:pPr>
              <w:rPr>
                <w:b/>
                <w:bCs/>
                <w:color w:val="FFFFFF"/>
              </w:rPr>
            </w:pPr>
            <w:r>
              <w:rPr>
                <w:b/>
                <w:bCs/>
                <w:color w:val="FFFFFF"/>
              </w:rPr>
              <w:t>Category</w:t>
            </w:r>
          </w:p>
        </w:tc>
        <w:tc>
          <w:tcPr>
            <w:tcW w:w="31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808080" w:themeFill="background1" w:themeFillShade="80"/>
            <w:tcMar>
              <w:top w:w="100" w:type="dxa"/>
              <w:left w:w="100" w:type="dxa"/>
              <w:bottom w:w="100" w:type="dxa"/>
              <w:right w:w="100" w:type="dxa"/>
            </w:tcMar>
          </w:tcPr>
          <w:p w14:paraId="14BD803C" w14:textId="77777777" w:rsidR="007E7B80" w:rsidRDefault="007E7B80" w:rsidP="00C11756">
            <w:pPr>
              <w:rPr>
                <w:b/>
                <w:bCs/>
                <w:color w:val="FFFFFF"/>
              </w:rPr>
            </w:pPr>
          </w:p>
        </w:tc>
        <w:tc>
          <w:tcPr>
            <w:tcW w:w="3969" w:type="dxa"/>
            <w:tcBorders>
              <w:top w:val="single" w:sz="6" w:space="0" w:color="000000" w:themeColor="text1"/>
              <w:left w:val="nil"/>
              <w:bottom w:val="single" w:sz="6" w:space="0" w:color="000000" w:themeColor="text1"/>
              <w:right w:val="single" w:sz="6" w:space="0" w:color="000000" w:themeColor="text1"/>
            </w:tcBorders>
            <w:shd w:val="clear" w:color="auto" w:fill="808080" w:themeFill="background1" w:themeFillShade="80"/>
            <w:tcMar>
              <w:top w:w="100" w:type="dxa"/>
              <w:left w:w="100" w:type="dxa"/>
              <w:bottom w:w="100" w:type="dxa"/>
              <w:right w:w="100" w:type="dxa"/>
            </w:tcMar>
          </w:tcPr>
          <w:p w14:paraId="44ED38C4" w14:textId="77777777" w:rsidR="007E7B80" w:rsidRDefault="007E7B80" w:rsidP="00C11756">
            <w:pPr>
              <w:rPr>
                <w:b/>
                <w:bCs/>
                <w:color w:val="FFFFFF"/>
                <w:lang w:val="de-DE"/>
              </w:rPr>
            </w:pPr>
            <w:r>
              <w:rPr>
                <w:b/>
                <w:bCs/>
                <w:color w:val="FFFFFF"/>
                <w:lang w:val="de-DE"/>
              </w:rPr>
              <w:t xml:space="preserve">Total </w:t>
            </w:r>
            <w:proofErr w:type="spellStart"/>
            <w:r>
              <w:rPr>
                <w:b/>
                <w:bCs/>
                <w:color w:val="FFFFFF"/>
                <w:lang w:val="de-DE"/>
              </w:rPr>
              <w:t>monthly</w:t>
            </w:r>
            <w:proofErr w:type="spellEnd"/>
            <w:r>
              <w:rPr>
                <w:b/>
                <w:bCs/>
                <w:color w:val="FFFFFF"/>
                <w:lang w:val="de-DE"/>
              </w:rPr>
              <w:t xml:space="preserve"> </w:t>
            </w:r>
            <w:proofErr w:type="spellStart"/>
            <w:r>
              <w:rPr>
                <w:b/>
                <w:bCs/>
                <w:color w:val="FFFFFF"/>
                <w:lang w:val="de-DE"/>
              </w:rPr>
              <w:t>cost</w:t>
            </w:r>
            <w:proofErr w:type="spellEnd"/>
            <w:r w:rsidRPr="00BD1A10">
              <w:rPr>
                <w:b/>
                <w:bCs/>
                <w:color w:val="FFFFFF"/>
                <w:lang w:val="de-DE"/>
              </w:rPr>
              <w:t> </w:t>
            </w:r>
          </w:p>
          <w:p w14:paraId="5BA78F2B" w14:textId="77777777" w:rsidR="007E7B80" w:rsidRPr="00BB22FC" w:rsidRDefault="007E7B80" w:rsidP="00C11756">
            <w:pPr>
              <w:rPr>
                <w:b/>
                <w:bCs/>
                <w:color w:val="FFFFFF"/>
                <w:lang w:val="de-DE"/>
              </w:rPr>
            </w:pPr>
            <w:r w:rsidRPr="004E42C5">
              <w:rPr>
                <w:color w:val="FFFFFF"/>
                <w:sz w:val="20"/>
                <w:szCs w:val="20"/>
                <w:lang w:val="de-DE"/>
              </w:rPr>
              <w:t>[EUR]</w:t>
            </w:r>
          </w:p>
        </w:tc>
      </w:tr>
      <w:tr w:rsidR="007E7B80" w:rsidRPr="0016472E" w14:paraId="147EC788" w14:textId="77777777" w:rsidTr="00C11756">
        <w:trPr>
          <w:trHeight w:val="450"/>
          <w:jc w:val="center"/>
        </w:trPr>
        <w:tc>
          <w:tcPr>
            <w:tcW w:w="1268" w:type="dxa"/>
            <w:tcBorders>
              <w:top w:val="nil"/>
              <w:left w:val="single" w:sz="6" w:space="0" w:color="000000" w:themeColor="text1"/>
              <w:bottom w:val="single" w:sz="4" w:space="0" w:color="auto"/>
              <w:right w:val="single" w:sz="6" w:space="0" w:color="000000" w:themeColor="text1"/>
            </w:tcBorders>
            <w:vAlign w:val="center"/>
          </w:tcPr>
          <w:p w14:paraId="2BCF363F" w14:textId="77777777" w:rsidR="007E7B80" w:rsidRPr="004E42C5" w:rsidRDefault="007E7B80" w:rsidP="00C11756">
            <w:pPr>
              <w:jc w:val="center"/>
              <w:rPr>
                <w:lang w:val="de-DE"/>
              </w:rPr>
            </w:pPr>
            <w:r>
              <w:rPr>
                <w:lang w:val="de-DE"/>
              </w:rPr>
              <w:t>6</w:t>
            </w:r>
          </w:p>
        </w:tc>
        <w:tc>
          <w:tcPr>
            <w:tcW w:w="3119" w:type="dxa"/>
            <w:tcBorders>
              <w:top w:val="nil"/>
              <w:left w:val="single" w:sz="6" w:space="0" w:color="000000" w:themeColor="text1"/>
              <w:bottom w:val="single" w:sz="4" w:space="0" w:color="auto"/>
              <w:right w:val="single" w:sz="6" w:space="0" w:color="000000" w:themeColor="text1"/>
            </w:tcBorders>
            <w:tcMar>
              <w:top w:w="100" w:type="dxa"/>
              <w:left w:w="100" w:type="dxa"/>
              <w:bottom w:w="100" w:type="dxa"/>
              <w:right w:w="100" w:type="dxa"/>
            </w:tcMar>
            <w:vAlign w:val="center"/>
          </w:tcPr>
          <w:p w14:paraId="4760D3BF" w14:textId="77777777" w:rsidR="007E7B80" w:rsidRPr="004E42C5" w:rsidRDefault="007E7B80" w:rsidP="00C11756">
            <w:pPr>
              <w:rPr>
                <w:lang w:val="de-DE"/>
              </w:rPr>
            </w:pPr>
            <w:r w:rsidRPr="004E42C5">
              <w:rPr>
                <w:lang w:val="de-DE"/>
              </w:rPr>
              <w:t xml:space="preserve">Optional </w:t>
            </w:r>
            <w:proofErr w:type="spellStart"/>
            <w:r>
              <w:rPr>
                <w:lang w:val="de-DE"/>
              </w:rPr>
              <w:t>f</w:t>
            </w:r>
            <w:r w:rsidRPr="004E42C5">
              <w:rPr>
                <w:lang w:val="de-DE"/>
              </w:rPr>
              <w:t>un</w:t>
            </w:r>
            <w:r>
              <w:rPr>
                <w:lang w:val="de-DE"/>
              </w:rPr>
              <w:t>ctionalities</w:t>
            </w:r>
            <w:proofErr w:type="spellEnd"/>
          </w:p>
        </w:tc>
        <w:tc>
          <w:tcPr>
            <w:tcW w:w="3969" w:type="dxa"/>
            <w:tcBorders>
              <w:top w:val="nil"/>
              <w:left w:val="nil"/>
              <w:bottom w:val="single" w:sz="4" w:space="0" w:color="auto"/>
              <w:right w:val="single" w:sz="6" w:space="0" w:color="000000" w:themeColor="text1"/>
            </w:tcBorders>
            <w:shd w:val="clear" w:color="auto" w:fill="F2F2F2" w:themeFill="background1" w:themeFillShade="F2"/>
            <w:tcMar>
              <w:top w:w="100" w:type="dxa"/>
              <w:left w:w="100" w:type="dxa"/>
              <w:bottom w:w="100" w:type="dxa"/>
              <w:right w:w="100" w:type="dxa"/>
            </w:tcMar>
          </w:tcPr>
          <w:p w14:paraId="68A81D74" w14:textId="77777777" w:rsidR="007E7B80" w:rsidRPr="00ED4286" w:rsidRDefault="007E7B80" w:rsidP="00C11756">
            <w:pPr>
              <w:rPr>
                <w:b/>
                <w:bCs/>
                <w:lang w:val="de-DE"/>
              </w:rPr>
            </w:pPr>
            <w:r w:rsidRPr="00ED4286">
              <w:rPr>
                <w:b/>
                <w:bCs/>
                <w:lang w:val="de-DE"/>
              </w:rPr>
              <w:t xml:space="preserve"> </w:t>
            </w:r>
          </w:p>
        </w:tc>
      </w:tr>
    </w:tbl>
    <w:p w14:paraId="5EB95E75" w14:textId="77777777" w:rsidR="007E7B80" w:rsidRDefault="007E7B80" w:rsidP="007E7B80">
      <w:pPr>
        <w:rPr>
          <w:lang w:val="de-DE"/>
        </w:rPr>
      </w:pPr>
    </w:p>
    <w:p w14:paraId="0869953C" w14:textId="77777777" w:rsidR="007E7B80" w:rsidRPr="00B65AF4" w:rsidRDefault="007E7B80" w:rsidP="007E7B80">
      <w:pPr>
        <w:spacing w:before="240" w:after="240"/>
        <w:jc w:val="both"/>
        <w:rPr>
          <w:lang w:val="en-US"/>
        </w:rPr>
      </w:pPr>
      <w:r w:rsidRPr="00B65AF4">
        <w:rPr>
          <w:lang w:val="en-US"/>
        </w:rPr>
        <w:t xml:space="preserve">Please note the following information: </w:t>
      </w:r>
    </w:p>
    <w:p w14:paraId="558ED365" w14:textId="4B9550A8" w:rsidR="007E7B80" w:rsidRPr="003953BB" w:rsidRDefault="00225154" w:rsidP="007E7B80">
      <w:pPr>
        <w:pStyle w:val="Listenabsatz"/>
        <w:numPr>
          <w:ilvl w:val="0"/>
          <w:numId w:val="1"/>
        </w:numPr>
        <w:spacing w:line="300" w:lineRule="atLeast"/>
        <w:jc w:val="both"/>
        <w:rPr>
          <w:lang w:val="en-US"/>
        </w:rPr>
      </w:pPr>
      <w:r>
        <w:rPr>
          <w:lang w:val="en-US"/>
        </w:rPr>
        <w:t>T</w:t>
      </w:r>
      <w:r w:rsidR="007E7B80" w:rsidRPr="00B65AF4">
        <w:rPr>
          <w:lang w:val="en-US"/>
        </w:rPr>
        <w:t xml:space="preserve">he contractor </w:t>
      </w:r>
      <w:r w:rsidR="007E7B80">
        <w:rPr>
          <w:lang w:val="en-US"/>
        </w:rPr>
        <w:t>requires</w:t>
      </w:r>
      <w:r w:rsidR="007E7B80" w:rsidRPr="00B65AF4">
        <w:rPr>
          <w:lang w:val="en-US"/>
        </w:rPr>
        <w:t xml:space="preserve"> a backend for providing the optional functionalities. </w:t>
      </w:r>
      <w:r w:rsidR="007E7B80" w:rsidRPr="003953BB">
        <w:rPr>
          <w:lang w:val="en-US"/>
        </w:rPr>
        <w:t>An alternative technical implementation of the solution is possible.</w:t>
      </w:r>
    </w:p>
    <w:p w14:paraId="6350B729" w14:textId="2394072A" w:rsidR="007E7B80" w:rsidRPr="004F5DEA" w:rsidRDefault="007E7B80" w:rsidP="007E7B80">
      <w:pPr>
        <w:pStyle w:val="Listenabsatz"/>
        <w:numPr>
          <w:ilvl w:val="0"/>
          <w:numId w:val="1"/>
        </w:numPr>
        <w:spacing w:line="300" w:lineRule="atLeast"/>
        <w:jc w:val="both"/>
        <w:rPr>
          <w:lang w:val="en-US"/>
        </w:rPr>
      </w:pPr>
      <w:r w:rsidRPr="00B65AF4">
        <w:rPr>
          <w:lang w:val="en-US"/>
        </w:rPr>
        <w:t xml:space="preserve">Backend components must be operated on the infrastructure of the </w:t>
      </w:r>
      <w:r w:rsidR="00225154">
        <w:rPr>
          <w:lang w:val="en-US"/>
        </w:rPr>
        <w:t>C</w:t>
      </w:r>
      <w:r>
        <w:rPr>
          <w:lang w:val="en-US"/>
        </w:rPr>
        <w:t>lient</w:t>
      </w:r>
      <w:r w:rsidRPr="00B65AF4">
        <w:rPr>
          <w:lang w:val="en-US"/>
        </w:rPr>
        <w:t xml:space="preserve"> or an affiliated third party. </w:t>
      </w:r>
      <w:r w:rsidRPr="004F5DEA">
        <w:rPr>
          <w:lang w:val="en-US"/>
        </w:rPr>
        <w:t>The contractor shall provide the required software components.</w:t>
      </w:r>
    </w:p>
    <w:p w14:paraId="2A8F8832" w14:textId="680E626B" w:rsidR="007E7B80" w:rsidRDefault="007E7B80" w:rsidP="007E7B80">
      <w:pPr>
        <w:pStyle w:val="Listenabsatz"/>
        <w:numPr>
          <w:ilvl w:val="0"/>
          <w:numId w:val="1"/>
        </w:numPr>
        <w:spacing w:line="300" w:lineRule="atLeast"/>
        <w:jc w:val="both"/>
        <w:rPr>
          <w:lang w:val="en-US"/>
        </w:rPr>
      </w:pPr>
      <w:r w:rsidRPr="004F5DEA">
        <w:rPr>
          <w:lang w:val="en-US"/>
        </w:rPr>
        <w:t xml:space="preserve">If the optional functionalities are provided via the </w:t>
      </w:r>
      <w:r>
        <w:rPr>
          <w:lang w:val="en-US"/>
        </w:rPr>
        <w:t>contractor’s</w:t>
      </w:r>
      <w:r w:rsidRPr="004F5DEA">
        <w:rPr>
          <w:lang w:val="en-US"/>
        </w:rPr>
        <w:t xml:space="preserve"> backend or if user data leaves the </w:t>
      </w:r>
      <w:r w:rsidR="00225154">
        <w:rPr>
          <w:lang w:val="en-US"/>
        </w:rPr>
        <w:t>C</w:t>
      </w:r>
      <w:r>
        <w:rPr>
          <w:lang w:val="en-US"/>
        </w:rPr>
        <w:t>lient’s</w:t>
      </w:r>
      <w:r w:rsidRPr="004F5DEA">
        <w:rPr>
          <w:lang w:val="en-US"/>
        </w:rPr>
        <w:t xml:space="preserve"> sphere of influence in any other way, zero points will be awarded for category 6.</w:t>
      </w:r>
    </w:p>
    <w:p w14:paraId="5F68BA02" w14:textId="77777777" w:rsidR="007E7B80" w:rsidRPr="003B1888" w:rsidRDefault="007E7B80" w:rsidP="007E7B80">
      <w:pPr>
        <w:rPr>
          <w:color w:val="808080" w:themeColor="background1" w:themeShade="80"/>
          <w:lang w:val="en-US"/>
        </w:rPr>
      </w:pPr>
    </w:p>
    <w:p w14:paraId="4FB4C261" w14:textId="77777777" w:rsidR="00DC26F0" w:rsidRDefault="00DC26F0"/>
    <w:sectPr w:rsidR="00DC26F0" w:rsidSect="007E7B80">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5CFA7" w14:textId="77777777" w:rsidR="00266AEC" w:rsidRDefault="00266AEC" w:rsidP="00225154">
      <w:pPr>
        <w:spacing w:line="240" w:lineRule="auto"/>
      </w:pPr>
      <w:r>
        <w:separator/>
      </w:r>
    </w:p>
  </w:endnote>
  <w:endnote w:type="continuationSeparator" w:id="0">
    <w:p w14:paraId="5712A939" w14:textId="77777777" w:rsidR="00266AEC" w:rsidRDefault="00266AEC" w:rsidP="0022515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DAECF" w14:textId="7D8E4752" w:rsidR="00B635FA" w:rsidRPr="006F305C" w:rsidRDefault="00B635FA" w:rsidP="00B635FA">
    <w:pPr>
      <w:pStyle w:val="Fuzeile"/>
      <w:rPr>
        <w:lang w:val="en-US"/>
      </w:rPr>
    </w:pPr>
    <w:r w:rsidRPr="006F305C">
      <w:rPr>
        <w:lang w:val="en-US"/>
      </w:rPr>
      <w:t xml:space="preserve">Part </w:t>
    </w:r>
    <w:proofErr w:type="spellStart"/>
    <w:r>
      <w:rPr>
        <w:lang w:val="en-US"/>
      </w:rPr>
      <w:t>D_Appendix</w:t>
    </w:r>
    <w:proofErr w:type="spellEnd"/>
    <w:r>
      <w:rPr>
        <w:lang w:val="en-US"/>
      </w:rPr>
      <w:t xml:space="preserve"> 01_Price Sheet </w:t>
    </w:r>
    <w:r w:rsidRPr="006F305C">
      <w:rPr>
        <w:lang w:val="en-US"/>
      </w:rPr>
      <w:t xml:space="preserve">– as of </w:t>
    </w:r>
    <w:r>
      <w:rPr>
        <w:lang w:val="en-US"/>
      </w:rPr>
      <w:t>May 5</w:t>
    </w:r>
    <w:r w:rsidRPr="006F305C">
      <w:rPr>
        <w:lang w:val="en-US"/>
      </w:rPr>
      <w:t xml:space="preserve">, </w:t>
    </w:r>
    <w:proofErr w:type="gramStart"/>
    <w:r w:rsidRPr="006F305C">
      <w:rPr>
        <w:lang w:val="en-US"/>
      </w:rPr>
      <w:t>2026</w:t>
    </w:r>
    <w:proofErr w:type="gramEnd"/>
    <w:r w:rsidRPr="006F305C">
      <w:rPr>
        <w:lang w:val="en-US"/>
      </w:rPr>
      <w:tab/>
      <w:t>Page</w:t>
    </w:r>
    <w:r>
      <w:rPr>
        <w:lang w:val="en-US"/>
      </w:rPr>
      <w:t xml:space="preserve"> </w:t>
    </w:r>
    <w:r w:rsidRPr="00575683">
      <w:rPr>
        <w:lang w:val="de-DE"/>
      </w:rPr>
      <w:fldChar w:fldCharType="begin"/>
    </w:r>
    <w:r w:rsidRPr="006F305C">
      <w:rPr>
        <w:lang w:val="en-US"/>
      </w:rPr>
      <w:instrText>PAGE</w:instrText>
    </w:r>
    <w:r w:rsidRPr="00575683">
      <w:rPr>
        <w:lang w:val="de-DE"/>
      </w:rPr>
      <w:fldChar w:fldCharType="separate"/>
    </w:r>
    <w:r>
      <w:t>1</w:t>
    </w:r>
    <w:r w:rsidRPr="00575683">
      <w:rPr>
        <w:lang w:val="de-DE"/>
      </w:rPr>
      <w:fldChar w:fldCharType="end"/>
    </w:r>
    <w:r w:rsidRPr="006F305C">
      <w:rPr>
        <w:lang w:val="en-US"/>
      </w:rPr>
      <w:t xml:space="preserve"> from </w:t>
    </w:r>
    <w:r w:rsidRPr="00575683">
      <w:rPr>
        <w:lang w:val="de-DE"/>
      </w:rPr>
      <w:fldChar w:fldCharType="begin"/>
    </w:r>
    <w:r w:rsidRPr="006F305C">
      <w:rPr>
        <w:lang w:val="en-US"/>
      </w:rPr>
      <w:instrText>NUMPAGES</w:instrText>
    </w:r>
    <w:r w:rsidRPr="00575683">
      <w:rPr>
        <w:lang w:val="de-DE"/>
      </w:rPr>
      <w:fldChar w:fldCharType="separate"/>
    </w:r>
    <w:r>
      <w:t>15</w:t>
    </w:r>
    <w:r w:rsidRPr="00575683">
      <w:rPr>
        <w:lang w:val="de-DE"/>
      </w:rPr>
      <w:fldChar w:fldCharType="end"/>
    </w:r>
  </w:p>
  <w:p w14:paraId="3A5CC125" w14:textId="77777777" w:rsidR="00225154" w:rsidRPr="00BF2C0C" w:rsidRDefault="00225154">
    <w:pPr>
      <w:pStyle w:val="Fuzeile"/>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55433" w14:textId="77777777" w:rsidR="00266AEC" w:rsidRDefault="00266AEC" w:rsidP="00225154">
      <w:pPr>
        <w:spacing w:line="240" w:lineRule="auto"/>
      </w:pPr>
      <w:r>
        <w:separator/>
      </w:r>
    </w:p>
  </w:footnote>
  <w:footnote w:type="continuationSeparator" w:id="0">
    <w:p w14:paraId="162A0F9B" w14:textId="77777777" w:rsidR="00266AEC" w:rsidRDefault="00266AEC" w:rsidP="0022515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B06DB" w14:textId="3F9CB417" w:rsidR="00B635FA" w:rsidRPr="00BF2C0C" w:rsidRDefault="00B635FA" w:rsidP="00BF2C0C">
    <w:pPr>
      <w:pStyle w:val="Kopfzeile"/>
      <w:jc w:val="center"/>
      <w:rPr>
        <w:b/>
        <w:bCs/>
      </w:rPr>
    </w:pPr>
    <w:r w:rsidRPr="00BF2C0C">
      <w:rPr>
        <w:b/>
        <w:bCs/>
      </w:rPr>
      <w:t>Procurement procedure Runtime Application Self-Protection (RASP) of SPRIND GmbH</w:t>
    </w:r>
  </w:p>
  <w:p w14:paraId="3AB2BECC" w14:textId="77777777" w:rsidR="00B635FA" w:rsidRPr="00BF2C0C" w:rsidRDefault="00B635FA" w:rsidP="00BF2C0C">
    <w:pPr>
      <w:pStyle w:val="Kopfzeile"/>
      <w:jc w:val="center"/>
      <w:rPr>
        <w:b/>
        <w:bCs/>
      </w:rPr>
    </w:pPr>
  </w:p>
  <w:p w14:paraId="645FAFE7" w14:textId="764E7DA2" w:rsidR="00B635FA" w:rsidRPr="00BF2C0C" w:rsidRDefault="00B635FA" w:rsidP="00BF2C0C">
    <w:pPr>
      <w:pStyle w:val="Kopfzeile"/>
      <w:jc w:val="center"/>
      <w:rPr>
        <w:b/>
        <w:bCs/>
      </w:rPr>
    </w:pPr>
    <w:r w:rsidRPr="00BF2C0C">
      <w:rPr>
        <w:b/>
        <w:bCs/>
      </w:rPr>
      <w:t>Award number: EIN-1380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77868"/>
    <w:multiLevelType w:val="multilevel"/>
    <w:tmpl w:val="0F581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90C3D44"/>
    <w:multiLevelType w:val="hybridMultilevel"/>
    <w:tmpl w:val="4EB277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7304650">
    <w:abstractNumId w:val="0"/>
  </w:num>
  <w:num w:numId="2" w16cid:durableId="11767256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B80"/>
    <w:rsid w:val="00024D06"/>
    <w:rsid w:val="00043709"/>
    <w:rsid w:val="00225154"/>
    <w:rsid w:val="00266AEC"/>
    <w:rsid w:val="00464886"/>
    <w:rsid w:val="004A7C9E"/>
    <w:rsid w:val="004D44D4"/>
    <w:rsid w:val="00635837"/>
    <w:rsid w:val="0065658F"/>
    <w:rsid w:val="006806F9"/>
    <w:rsid w:val="006A2E19"/>
    <w:rsid w:val="007051DC"/>
    <w:rsid w:val="00715D58"/>
    <w:rsid w:val="007C5415"/>
    <w:rsid w:val="007E7B80"/>
    <w:rsid w:val="00A472DF"/>
    <w:rsid w:val="00B635FA"/>
    <w:rsid w:val="00BF2C0C"/>
    <w:rsid w:val="00C35198"/>
    <w:rsid w:val="00DC26F0"/>
    <w:rsid w:val="00DF16BF"/>
    <w:rsid w:val="00F703E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0F896A"/>
  <w15:chartTrackingRefBased/>
  <w15:docId w15:val="{A88A7F3C-8AA8-1145-B069-4AC88EDD4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E7B80"/>
    <w:pPr>
      <w:spacing w:line="276" w:lineRule="auto"/>
    </w:pPr>
    <w:rPr>
      <w:rFonts w:ascii="Arial" w:eastAsia="Arial" w:hAnsi="Arial" w:cs="Arial"/>
      <w:kern w:val="0"/>
      <w:sz w:val="22"/>
      <w:szCs w:val="22"/>
      <w:lang w:val="en" w:eastAsia="de-DE"/>
      <w14:ligatures w14:val="none"/>
    </w:rPr>
  </w:style>
  <w:style w:type="paragraph" w:styleId="berschrift1">
    <w:name w:val="heading 1"/>
    <w:basedOn w:val="Standard"/>
    <w:next w:val="Standard"/>
    <w:link w:val="berschrift1Zchn"/>
    <w:uiPriority w:val="9"/>
    <w:qFormat/>
    <w:rsid w:val="007E7B8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unhideWhenUsed/>
    <w:qFormat/>
    <w:rsid w:val="007E7B8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7E7B80"/>
    <w:pPr>
      <w:keepNext/>
      <w:keepLines/>
      <w:spacing w:before="160" w:after="80"/>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7E7B80"/>
    <w:pPr>
      <w:keepNext/>
      <w:keepLines/>
      <w:spacing w:before="80" w:after="40"/>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7E7B80"/>
    <w:pPr>
      <w:keepNext/>
      <w:keepLines/>
      <w:spacing w:before="80" w:after="40"/>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7E7B8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E7B8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E7B8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E7B8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E7B80"/>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rsid w:val="007E7B80"/>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7E7B80"/>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7E7B80"/>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7E7B80"/>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7E7B8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E7B8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E7B8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E7B80"/>
    <w:rPr>
      <w:rFonts w:eastAsiaTheme="majorEastAsia" w:cstheme="majorBidi"/>
      <w:color w:val="272727" w:themeColor="text1" w:themeTint="D8"/>
    </w:rPr>
  </w:style>
  <w:style w:type="paragraph" w:styleId="Titel">
    <w:name w:val="Title"/>
    <w:basedOn w:val="Standard"/>
    <w:next w:val="Standard"/>
    <w:link w:val="TitelZchn"/>
    <w:uiPriority w:val="10"/>
    <w:qFormat/>
    <w:rsid w:val="007E7B8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E7B8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E7B80"/>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E7B8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E7B80"/>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7E7B80"/>
    <w:rPr>
      <w:i/>
      <w:iCs/>
      <w:color w:val="404040" w:themeColor="text1" w:themeTint="BF"/>
    </w:rPr>
  </w:style>
  <w:style w:type="paragraph" w:styleId="Listenabsatz">
    <w:name w:val="List Paragraph"/>
    <w:basedOn w:val="Standard"/>
    <w:uiPriority w:val="34"/>
    <w:qFormat/>
    <w:rsid w:val="007E7B80"/>
    <w:pPr>
      <w:ind w:left="720"/>
      <w:contextualSpacing/>
    </w:pPr>
  </w:style>
  <w:style w:type="character" w:styleId="IntensiveHervorhebung">
    <w:name w:val="Intense Emphasis"/>
    <w:basedOn w:val="Absatz-Standardschriftart"/>
    <w:uiPriority w:val="21"/>
    <w:qFormat/>
    <w:rsid w:val="007E7B80"/>
    <w:rPr>
      <w:i/>
      <w:iCs/>
      <w:color w:val="2F5496" w:themeColor="accent1" w:themeShade="BF"/>
    </w:rPr>
  </w:style>
  <w:style w:type="paragraph" w:styleId="IntensivesZitat">
    <w:name w:val="Intense Quote"/>
    <w:basedOn w:val="Standard"/>
    <w:next w:val="Standard"/>
    <w:link w:val="IntensivesZitatZchn"/>
    <w:uiPriority w:val="30"/>
    <w:qFormat/>
    <w:rsid w:val="007E7B8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7E7B80"/>
    <w:rPr>
      <w:i/>
      <w:iCs/>
      <w:color w:val="2F5496" w:themeColor="accent1" w:themeShade="BF"/>
    </w:rPr>
  </w:style>
  <w:style w:type="character" w:styleId="IntensiverVerweis">
    <w:name w:val="Intense Reference"/>
    <w:basedOn w:val="Absatz-Standardschriftart"/>
    <w:uiPriority w:val="32"/>
    <w:qFormat/>
    <w:rsid w:val="007E7B80"/>
    <w:rPr>
      <w:b/>
      <w:bCs/>
      <w:smallCaps/>
      <w:color w:val="2F5496" w:themeColor="accent1" w:themeShade="BF"/>
      <w:spacing w:val="5"/>
    </w:rPr>
  </w:style>
  <w:style w:type="paragraph" w:styleId="berarbeitung">
    <w:name w:val="Revision"/>
    <w:hidden/>
    <w:uiPriority w:val="99"/>
    <w:semiHidden/>
    <w:rsid w:val="00225154"/>
    <w:rPr>
      <w:rFonts w:ascii="Arial" w:eastAsia="Arial" w:hAnsi="Arial" w:cs="Arial"/>
      <w:kern w:val="0"/>
      <w:sz w:val="22"/>
      <w:szCs w:val="22"/>
      <w:lang w:val="en" w:eastAsia="de-DE"/>
      <w14:ligatures w14:val="none"/>
    </w:rPr>
  </w:style>
  <w:style w:type="paragraph" w:styleId="Kopfzeile">
    <w:name w:val="header"/>
    <w:basedOn w:val="Standard"/>
    <w:link w:val="KopfzeileZchn"/>
    <w:uiPriority w:val="99"/>
    <w:unhideWhenUsed/>
    <w:rsid w:val="002251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225154"/>
    <w:rPr>
      <w:rFonts w:ascii="Arial" w:eastAsia="Arial" w:hAnsi="Arial" w:cs="Arial"/>
      <w:kern w:val="0"/>
      <w:sz w:val="22"/>
      <w:szCs w:val="22"/>
      <w:lang w:val="en" w:eastAsia="de-DE"/>
      <w14:ligatures w14:val="none"/>
    </w:rPr>
  </w:style>
  <w:style w:type="paragraph" w:styleId="Fuzeile">
    <w:name w:val="footer"/>
    <w:basedOn w:val="Standard"/>
    <w:link w:val="FuzeileZchn"/>
    <w:uiPriority w:val="99"/>
    <w:unhideWhenUsed/>
    <w:rsid w:val="002251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225154"/>
    <w:rPr>
      <w:rFonts w:ascii="Arial" w:eastAsia="Arial" w:hAnsi="Arial" w:cs="Arial"/>
      <w:kern w:val="0"/>
      <w:sz w:val="22"/>
      <w:szCs w:val="22"/>
      <w:lang w:val="en"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459</Words>
  <Characters>2894</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Bremer</dc:creator>
  <cp:keywords/>
  <dc:description/>
  <cp:lastModifiedBy>Dörn, Alik</cp:lastModifiedBy>
  <cp:revision>12</cp:revision>
  <dcterms:created xsi:type="dcterms:W3CDTF">2026-05-03T20:54:00Z</dcterms:created>
  <dcterms:modified xsi:type="dcterms:W3CDTF">2026-05-05T14:44:00Z</dcterms:modified>
</cp:coreProperties>
</file>